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 w:line="312" w:lineRule="auto"/>
        <w:jc w:val="center"/>
      </w:pPr>
      <w:r>
        <w:rPr>
          <w:rFonts w:ascii="Aptos" w:hAnsi="Microsoft YaHei" w:eastAsia="Microsoft YaHei"/>
          <w:b/>
          <w:color w:val="000000"/>
          <w:sz w:val="44"/>
        </w:rPr>
        <w:t>R1 商品目录接口验证说明</w:t>
      </w:r>
    </w:p>
    <w:p>
      <w:pPr>
        <w:spacing w:before="0" w:after="400" w:line="312" w:lineRule="auto"/>
        <w:jc w:val="center"/>
      </w:pPr>
      <w:r>
        <w:rPr>
          <w:rFonts w:ascii="Aptos" w:hAnsi="Microsoft YaHei" w:eastAsia="Microsoft YaHei"/>
          <w:b w:val="0"/>
          <w:color w:val="5A5A5A"/>
          <w:sz w:val="20"/>
        </w:rPr>
        <w:t>提供方：成员 1  商品目录路线  验证日期：2026 年 9 月 12 日</w:t>
      </w: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R1 商品目录接口已经完成本机前后端联调，可以交给其他成员使用。商品页面当前从后端接口读取商品信息，不再以写死在前端的商品数据作为主数据源。</w:t>
      </w: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1 已完成的内容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249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完成项</w:t>
            </w:r>
          </w:p>
        </w:tc>
        <w:tc>
          <w:tcPr>
            <w:tcW w:type="dxa" w:w="7030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结果</w:t>
            </w:r>
          </w:p>
        </w:tc>
      </w:tr>
      <w:tr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后端商品数据</w:t>
            </w:r>
          </w:p>
        </w:tc>
        <w:tc>
          <w:tcPr>
            <w:tcW w:type="dxa" w:w="703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已建立商品、分类和 5 个在售商品的本机数据。</w:t>
            </w:r>
          </w:p>
        </w:tc>
      </w:tr>
      <w:tr>
        <w:tc>
          <w:tcPr>
            <w:tcW w:type="dxa" w:w="2494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商品接口</w:t>
            </w:r>
          </w:p>
        </w:tc>
        <w:tc>
          <w:tcPr>
            <w:tcW w:type="dxa" w:w="7030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已提供商品列表、单个商品详情和分类列表接口。</w:t>
            </w:r>
          </w:p>
        </w:tc>
      </w:tr>
      <w:tr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前端商品页面</w:t>
            </w:r>
          </w:p>
        </w:tc>
        <w:tc>
          <w:tcPr>
            <w:tcW w:type="dxa" w:w="703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首页、商品列表、商品详情、立即定制页均已读取商品接口。</w:t>
            </w:r>
          </w:p>
        </w:tc>
      </w:tr>
      <w:tr>
        <w:tc>
          <w:tcPr>
            <w:tcW w:type="dxa" w:w="2494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本机运行</w:t>
            </w:r>
          </w:p>
        </w:tc>
        <w:tc>
          <w:tcPr>
            <w:tcW w:type="dxa" w:w="7030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Docker 中的后端、数据库、Redis 已启动；微信开发者工具可正常打开前端。</w:t>
            </w:r>
          </w:p>
        </w:tc>
      </w:tr>
    </w:tbl>
    <w:p>
      <w:pPr>
        <w:spacing w:after="60"/>
      </w:pP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2 已完成前后端数据通路验证</w:t>
      </w: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本次验证的重点不是只确认接口能打开，而是确认后端数据变化后，前端页面会随之变化。这样可以证明商品信息确实经过后端接口传到小程序，而不是前端仍在展示旧的静态配置。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283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验证步骤</w:t>
            </w:r>
          </w:p>
        </w:tc>
        <w:tc>
          <w:tcPr>
            <w:tcW w:type="dxa" w:w="6690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验证结果</w:t>
            </w:r>
          </w:p>
        </w:tc>
      </w:tr>
      <w:tr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读取商品初始值</w:t>
            </w:r>
          </w:p>
        </w:tc>
        <w:tc>
          <w:tcPr>
            <w:tcW w:type="dxa" w:w="669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 notebook-small 的价格为 12 元，划线原价为 18 元。</w:t>
            </w:r>
          </w:p>
        </w:tc>
      </w:tr>
      <w:tr>
        <w:tc>
          <w:tcPr>
            <w:tcW w:type="dxa" w:w="283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修改后端数据库</w:t>
            </w:r>
          </w:p>
        </w:tc>
        <w:tc>
          <w:tcPr>
            <w:tcW w:type="dxa" w:w="6690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将该商品测试价格修改为 19 元，测试划线原价修改为 29 元。</w:t>
            </w:r>
          </w:p>
        </w:tc>
      </w:tr>
      <w:tr>
        <w:tc>
          <w:tcPr>
            <w:tcW w:type="dxa" w:w="283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重新编译小程序</w:t>
            </w:r>
          </w:p>
        </w:tc>
        <w:tc>
          <w:tcPr>
            <w:tcW w:type="dxa" w:w="669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微信开发者工具重新编译后，商品卡片和详情页价格同步显示为 19 元和 29 元。</w:t>
            </w:r>
          </w:p>
        </w:tc>
      </w:tr>
      <w:tr>
        <w:tc>
          <w:tcPr>
            <w:tcW w:type="dxa" w:w="283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得出结论</w:t>
            </w:r>
          </w:p>
        </w:tc>
        <w:tc>
          <w:tcPr>
            <w:tcW w:type="dxa" w:w="6690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前端展示随数据库和接口返回同步改变，前后端商品数据通路正常。</w:t>
            </w:r>
          </w:p>
        </w:tc>
      </w:tr>
    </w:tbl>
    <w:p>
      <w:pPr>
        <w:spacing w:after="60"/>
      </w:pP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验证结论：R1 商品页面读取的是后端真实商品数据。后端数据变化能够传递到前端页面，因此接口已经经过实际联调验证，可以作为其他路线的商品数据来源。</w:t>
      </w: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3 对外使用约定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226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约定</w:t>
            </w:r>
          </w:p>
        </w:tc>
        <w:tc>
          <w:tcPr>
            <w:tcW w:type="dxa" w:w="7257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说明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稳定商品 ID</w:t>
            </w:r>
          </w:p>
        </w:tc>
        <w:tc>
          <w:tcPr>
            <w:tcW w:type="dxa" w:w="725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跨模块使用 productId 关联商品，例如 notebook-small、coaster、penbox。不要使用数组下标或商品名称作为关联键。</w:t>
            </w:r>
          </w:p>
        </w:tc>
      </w:tr>
      <w:tr>
        <w:tc>
          <w:tcPr>
            <w:tcW w:type="dxa" w:w="226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公开查询</w:t>
            </w:r>
          </w:p>
        </w:tc>
        <w:tc>
          <w:tcPr>
            <w:tcW w:type="dxa" w:w="7257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商品和分类查询不依赖登录态，前端调用时使用 auth false。</w:t>
            </w:r>
          </w:p>
        </w:tc>
      </w:tr>
      <w:tr>
        <w:tc>
          <w:tcPr>
            <w:tcW w:type="dxa" w:w="226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价格来源</w:t>
            </w:r>
          </w:p>
        </w:tc>
        <w:tc>
          <w:tcPr>
            <w:tcW w:type="dxa" w:w="7257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price 是服务端权威价格。前端可展示价格，订单金额必须由 R3 服务端重新查询并计算。</w:t>
            </w:r>
          </w:p>
        </w:tc>
      </w:tr>
      <w:tr>
        <w:tc>
          <w:tcPr>
            <w:tcW w:type="dxa" w:w="226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在售限制</w:t>
            </w:r>
          </w:p>
        </w:tc>
        <w:tc>
          <w:tcPr>
            <w:tcW w:type="dxa" w:w="7257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商品列表与详情只返回 ON_SALE 商品；不存在或下架商品详情返回 404。</w:t>
            </w:r>
          </w:p>
        </w:tc>
      </w:tr>
    </w:tbl>
    <w:p>
      <w:pPr>
        <w:spacing w:after="60"/>
      </w:pP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4 商品接口文档</w:t>
      </w: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以下接口已经完成验证。所有接口的统一响应形式为 code、message、data；成功时 code 为 0，实际业务数据位于 data 中。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450"/>
        <w:gridCol w:w="2450"/>
        <w:gridCol w:w="2450"/>
        <w:gridCol w:w="2450"/>
      </w:tblGrid>
      <w:tr>
        <w:tc>
          <w:tcPr>
            <w:tcW w:type="dxa" w:w="243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接口</w:t>
            </w:r>
          </w:p>
        </w:tc>
        <w:tc>
          <w:tcPr>
            <w:tcW w:type="dxa" w:w="232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用途</w:t>
            </w:r>
          </w:p>
        </w:tc>
        <w:tc>
          <w:tcPr>
            <w:tcW w:type="dxa" w:w="294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参数</w:t>
            </w:r>
          </w:p>
        </w:tc>
        <w:tc>
          <w:tcPr>
            <w:tcW w:type="dxa" w:w="181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验证状态</w:t>
            </w:r>
          </w:p>
        </w:tc>
      </w:tr>
      <w:tr>
        <w:tc>
          <w:tcPr>
            <w:tcW w:type="dxa" w:w="243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GET /api/categories</w:t>
            </w:r>
          </w:p>
        </w:tc>
        <w:tc>
          <w:tcPr>
            <w:tcW w:type="dxa" w:w="232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获取按 sort 排序的分类列表</w:t>
            </w:r>
          </w:p>
        </w:tc>
        <w:tc>
          <w:tcPr>
            <w:tcW w:type="dxa" w:w="294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无</w:t>
            </w:r>
          </w:p>
        </w:tc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已验证</w:t>
            </w:r>
          </w:p>
        </w:tc>
      </w:tr>
      <w:tr>
        <w:tc>
          <w:tcPr>
            <w:tcW w:type="dxa" w:w="243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GET /api/products</w:t>
            </w:r>
          </w:p>
        </w:tc>
        <w:tc>
          <w:tcPr>
            <w:tcW w:type="dxa" w:w="2324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获取在售商品分页列表</w:t>
            </w:r>
          </w:p>
        </w:tc>
        <w:tc>
          <w:tcPr>
            <w:tcW w:type="dxa" w:w="294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page、pageSize、categoryId、keyword 均可选</w:t>
            </w:r>
          </w:p>
        </w:tc>
        <w:tc>
          <w:tcPr>
            <w:tcW w:type="dxa" w:w="1814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已验证</w:t>
            </w:r>
          </w:p>
        </w:tc>
      </w:tr>
      <w:tr>
        <w:tc>
          <w:tcPr>
            <w:tcW w:type="dxa" w:w="243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GET /api/products/:id</w:t>
            </w:r>
          </w:p>
        </w:tc>
        <w:tc>
          <w:tcPr>
            <w:tcW w:type="dxa" w:w="232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获取一个在售商品的完整详情</w:t>
            </w:r>
          </w:p>
        </w:tc>
        <w:tc>
          <w:tcPr>
            <w:tcW w:type="dxa" w:w="294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id 为稳定商品 ID</w:t>
            </w:r>
          </w:p>
        </w:tc>
        <w:tc>
          <w:tcPr>
            <w:tcW w:type="dxa" w:w="181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已验证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368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商品字段</w:t>
            </w:r>
          </w:p>
        </w:tc>
        <w:tc>
          <w:tcPr>
            <w:tcW w:type="dxa" w:w="5839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含义</w:t>
            </w:r>
          </w:p>
        </w:tc>
      </w:tr>
      <w:tr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id、name、categoryId、status、sort</w:t>
            </w:r>
          </w:p>
        </w:tc>
        <w:tc>
          <w:tcPr>
            <w:tcW w:type="dxa" w:w="583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商品标识、名称、分类、在售状态和稳定排序。</w:t>
            </w:r>
          </w:p>
        </w:tc>
      </w:tr>
      <w:tr>
        <w:tc>
          <w:tcPr>
            <w:tcW w:type="dxa" w:w="368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price、originalPrice、leadTime</w:t>
            </w:r>
          </w:p>
        </w:tc>
        <w:tc>
          <w:tcPr>
            <w:tcW w:type="dxa" w:w="5839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商品价格、划线原价和制作周期。</w:t>
            </w:r>
          </w:p>
        </w:tc>
      </w:tr>
      <w:tr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subtitle、description、story、scene</w:t>
            </w:r>
          </w:p>
        </w:tc>
        <w:tc>
          <w:tcPr>
            <w:tcW w:type="dxa" w:w="583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商品卖点、介绍、设计理念和使用场景。</w:t>
            </w:r>
          </w:p>
        </w:tc>
      </w:tr>
      <w:tr>
        <w:tc>
          <w:tcPr>
            <w:tcW w:type="dxa" w:w="368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images、iconImg、tone</w:t>
            </w:r>
          </w:p>
        </w:tc>
        <w:tc>
          <w:tcPr>
            <w:tcW w:type="dxa" w:w="5839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商品图片、图标与详情页视觉主题色。</w:t>
            </w:r>
          </w:p>
        </w:tc>
      </w:tr>
      <w:tr>
        <w:tc>
          <w:tcPr>
            <w:tcW w:type="dxa" w:w="368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tags、specs、mask</w:t>
            </w:r>
          </w:p>
        </w:tc>
        <w:tc>
          <w:tcPr>
            <w:tcW w:type="dxa" w:w="5839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商品标签、规格参数和定制画布信息。</w:t>
            </w:r>
          </w:p>
        </w:tc>
      </w:tr>
    </w:tbl>
    <w:p>
      <w:pPr>
        <w:spacing w:after="60"/>
      </w:pP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5 可用商品 ID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67"/>
        <w:gridCol w:w="3267"/>
        <w:gridCol w:w="3267"/>
      </w:tblGrid>
      <w:tr>
        <w:tc>
          <w:tcPr>
            <w:tcW w:type="dxa" w:w="3005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productId</w:t>
            </w:r>
          </w:p>
        </w:tc>
        <w:tc>
          <w:tcPr>
            <w:tcW w:type="dxa" w:w="3288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商品名称</w:t>
            </w:r>
          </w:p>
        </w:tc>
        <w:tc>
          <w:tcPr>
            <w:tcW w:type="dxa" w:w="3231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对应分类 ID</w:t>
            </w:r>
          </w:p>
        </w:tc>
      </w:tr>
      <w:tr>
        <w:tc>
          <w:tcPr>
            <w:tcW w:type="dxa" w:w="300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notebook-small</w:t>
            </w:r>
          </w:p>
        </w:tc>
        <w:tc>
          <w:tcPr>
            <w:tcW w:type="dxa" w:w="328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微雕笔记本（小）</w:t>
            </w:r>
          </w:p>
        </w:tc>
        <w:tc>
          <w:tcPr>
            <w:tcW w:type="dxa" w:w="323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cat-notebook-small</w:t>
            </w:r>
          </w:p>
        </w:tc>
      </w:tr>
      <w:tr>
        <w:tc>
          <w:tcPr>
            <w:tcW w:type="dxa" w:w="300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notebook-large</w:t>
            </w:r>
          </w:p>
        </w:tc>
        <w:tc>
          <w:tcPr>
            <w:tcW w:type="dxa" w:w="328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微雕笔记本（大）</w:t>
            </w:r>
          </w:p>
        </w:tc>
        <w:tc>
          <w:tcPr>
            <w:tcW w:type="dxa" w:w="3231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cat-notebook-large</w:t>
            </w:r>
          </w:p>
        </w:tc>
      </w:tr>
      <w:tr>
        <w:tc>
          <w:tcPr>
            <w:tcW w:type="dxa" w:w="300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coaster</w:t>
            </w:r>
          </w:p>
        </w:tc>
        <w:tc>
          <w:tcPr>
            <w:tcW w:type="dxa" w:w="328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铜质杯垫</w:t>
            </w:r>
          </w:p>
        </w:tc>
        <w:tc>
          <w:tcPr>
            <w:tcW w:type="dxa" w:w="323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cat-coaster</w:t>
            </w:r>
          </w:p>
        </w:tc>
      </w:tr>
      <w:tr>
        <w:tc>
          <w:tcPr>
            <w:tcW w:type="dxa" w:w="3005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penbox</w:t>
            </w:r>
          </w:p>
        </w:tc>
        <w:tc>
          <w:tcPr>
            <w:tcW w:type="dxa" w:w="3288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竹制笔盒</w:t>
            </w:r>
          </w:p>
        </w:tc>
        <w:tc>
          <w:tcPr>
            <w:tcW w:type="dxa" w:w="3231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cat-penbox</w:t>
            </w:r>
          </w:p>
        </w:tc>
      </w:tr>
      <w:tr>
        <w:tc>
          <w:tcPr>
            <w:tcW w:type="dxa" w:w="3005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booklamp</w:t>
            </w:r>
          </w:p>
        </w:tc>
        <w:tc>
          <w:tcPr>
            <w:tcW w:type="dxa" w:w="328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书本型灯</w:t>
            </w:r>
          </w:p>
        </w:tc>
        <w:tc>
          <w:tcPr>
            <w:tcW w:type="dxa" w:w="3231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cat-booklamp</w:t>
            </w:r>
          </w:p>
        </w:tc>
      </w:tr>
    </w:tbl>
    <w:p>
      <w:pPr>
        <w:spacing w:after="60"/>
      </w:pP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6 给其他成员的使用说明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01"/>
        <w:gridCol w:w="4901"/>
      </w:tblGrid>
      <w:tr>
        <w:tc>
          <w:tcPr>
            <w:tcW w:type="dxa" w:w="2494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成员</w:t>
            </w:r>
          </w:p>
        </w:tc>
        <w:tc>
          <w:tcPr>
            <w:tcW w:type="dxa" w:w="7030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  <w:jc w:val="center"/>
            </w:pPr>
            <w:r>
              <w:rPr>
                <w:rFonts w:ascii="Aptos" w:hAnsi="Microsoft YaHei" w:eastAsia="Microsoft YaHei"/>
                <w:b/>
                <w:color w:val="FFFFFF"/>
                <w:sz w:val="19"/>
              </w:rPr>
              <w:t>可以使用的商品数据</w:t>
            </w:r>
          </w:p>
        </w:tc>
      </w:tr>
      <w:tr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成员 2 设计清单</w:t>
            </w:r>
          </w:p>
        </w:tc>
        <w:tc>
          <w:tcPr>
            <w:tcW w:type="dxa" w:w="703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保存 productId、productName、price、count；设计数据中原样保留 mask 和 tone。</w:t>
            </w:r>
          </w:p>
        </w:tc>
      </w:tr>
      <w:tr>
        <w:tc>
          <w:tcPr>
            <w:tcW w:type="dxa" w:w="2494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成员 3 订单</w:t>
            </w:r>
          </w:p>
        </w:tc>
        <w:tc>
          <w:tcPr>
            <w:tcW w:type="dxa" w:w="7030"/>
            <w:shd w:fill="F5F8FB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客户端只传 productId 与 quantity；订单服务端必须重新读取 price 计算金额。</w:t>
            </w:r>
          </w:p>
        </w:tc>
      </w:tr>
      <w:tr>
        <w:tc>
          <w:tcPr>
            <w:tcW w:type="dxa" w:w="2494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成员 4 设计与生产</w:t>
            </w:r>
          </w:p>
        </w:tc>
        <w:tc>
          <w:tcPr>
            <w:tcW w:type="dxa" w:w="7030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312" w:lineRule="auto"/>
            </w:pPr>
            <w:r>
              <w:rPr>
                <w:rFonts w:ascii="Aptos" w:hAnsi="Microsoft YaHei" w:eastAsia="Microsoft YaHei"/>
                <w:b w:val="0"/>
                <w:color w:val="000000"/>
                <w:sz w:val="18"/>
              </w:rPr>
              <w:t>使用 mask 确定画布尺寸，使用 tone 作为主题色；生产任务保存商品 ID 与设计快照。</w:t>
            </w:r>
          </w:p>
        </w:tc>
      </w:tr>
    </w:tbl>
    <w:p>
      <w:pPr>
        <w:spacing w:after="60"/>
      </w:pPr>
    </w:p>
    <w:p>
      <w:pPr>
        <w:spacing w:before="280" w:after="120" w:line="312" w:lineRule="auto"/>
      </w:pPr>
      <w:r>
        <w:rPr>
          <w:rFonts w:ascii="Aptos" w:hAnsi="Microsoft YaHei" w:eastAsia="Microsoft YaHei"/>
          <w:b/>
          <w:color w:val="000000"/>
          <w:sz w:val="30"/>
        </w:rPr>
        <w:t>7 本机验证环境说明</w:t>
      </w: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后端运行地址为 http://127.0.0.1:3090，Swagger 文档入口为 http://127.0.0.1:3090/docs。前端在微信开发者工具中导入 wechat_wc/dist，并将本机接口地址设置为 http://127.0.0.1:3090。该地址仅适用于本机模拟器联调；真机和生产环境需要替换为已配置合法域名的 HTTPS 地址。</w:t>
      </w:r>
    </w:p>
    <w:p>
      <w:pPr>
        <w:spacing w:before="0" w:after="140" w:line="312" w:lineRule="auto"/>
      </w:pPr>
      <w:r>
        <w:rPr>
          <w:rFonts w:ascii="Aptos" w:hAnsi="Microsoft YaHei" w:eastAsia="Microsoft YaHei"/>
          <w:b w:val="0"/>
          <w:color w:val="000000"/>
          <w:sz w:val="21"/>
        </w:rPr>
        <w:t>本说明可作为 R1 向其他成员交付商品接口的依据。其他成员接入时，应使用稳定商品 ID 与上述接口字段；如需扩展字段或改变字段含义，应先更新接口契约再进行开发。</w:t>
      </w:r>
    </w:p>
    <w:sectPr w:rsidR="00FC693F" w:rsidRPr="0006063C" w:rsidSect="00034616">
      <w:pgSz w:w="12240" w:h="15840"/>
      <w:pgMar w:top="1191" w:right="1219" w:bottom="1134" w:left="12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